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B49AA" w:rsidRPr="00CC55BE" w:rsidTr="00317D99">
        <w:tc>
          <w:tcPr>
            <w:tcW w:w="9606" w:type="dxa"/>
          </w:tcPr>
          <w:p w:rsidR="004B49AA" w:rsidRPr="00A42254" w:rsidRDefault="004B49AA" w:rsidP="00317D99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4B49AA" w:rsidRPr="00CC55BE" w:rsidRDefault="004B49AA" w:rsidP="00317D99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55BE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</w:t>
            </w:r>
          </w:p>
          <w:p w:rsidR="004B49AA" w:rsidRPr="00CC55BE" w:rsidRDefault="004B49AA" w:rsidP="00317D99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независимой оценк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качества условий </w:t>
            </w:r>
          </w:p>
          <w:p w:rsidR="004B49AA" w:rsidRPr="00CC55BE" w:rsidRDefault="004B49AA" w:rsidP="00317D99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4B49AA" w:rsidRPr="00CC55BE" w:rsidRDefault="004B49AA" w:rsidP="00317D99">
            <w:pPr>
              <w:pStyle w:val="ConsPlusNormal"/>
              <w:ind w:right="-305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AA" w:rsidRPr="000F0454" w:rsidRDefault="004B49AA" w:rsidP="00317D9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С.И. Филатов</w:t>
            </w:r>
          </w:p>
          <w:p w:rsidR="004B49AA" w:rsidRPr="000F0454" w:rsidRDefault="004B49AA" w:rsidP="00317D9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24» 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B49AA" w:rsidRDefault="004B49AA" w:rsidP="00317D9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B4CDA">
              <w:rPr>
                <w:rFonts w:ascii="Times New Roman" w:hAnsi="Times New Roman"/>
              </w:rPr>
              <w:t>протокол № 5</w:t>
            </w:r>
            <w:r w:rsidRPr="007826DF">
              <w:rPr>
                <w:rFonts w:ascii="Times New Roman" w:hAnsi="Times New Roman"/>
              </w:rPr>
              <w:t xml:space="preserve"> от 2</w:t>
            </w:r>
            <w:r>
              <w:t>4</w:t>
            </w:r>
            <w:r w:rsidRPr="007826DF">
              <w:rPr>
                <w:rFonts w:ascii="Times New Roman" w:hAnsi="Times New Roman"/>
              </w:rPr>
              <w:t>.11.202</w:t>
            </w:r>
            <w:r>
              <w:t>2</w:t>
            </w:r>
            <w:r w:rsidRPr="007826DF">
              <w:rPr>
                <w:rFonts w:ascii="Times New Roman" w:hAnsi="Times New Roman"/>
              </w:rPr>
              <w:t xml:space="preserve"> Общественного совета </w:t>
            </w:r>
          </w:p>
          <w:p w:rsidR="004B49AA" w:rsidRPr="00224C9C" w:rsidRDefault="004B49AA" w:rsidP="00317D9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826DF"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</w:tr>
    </w:tbl>
    <w:p w:rsidR="004B49AA" w:rsidRDefault="004B49AA" w:rsidP="004B49A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49AA" w:rsidRPr="003F6564" w:rsidRDefault="004B49AA" w:rsidP="004B49A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4B49AA" w:rsidRPr="003F6564" w:rsidRDefault="004B49AA" w:rsidP="004B49A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>по улучшению деятельности учреждениям, подведомственным Депсоцразвития Югры, оказывающим услуги в сфере социального обслуживания, одобренные Общественным советом по независимой оценке качества при Депсоцразвития Югры</w:t>
      </w:r>
    </w:p>
    <w:p w:rsidR="004B49AA" w:rsidRPr="003F6564" w:rsidRDefault="004B49AA" w:rsidP="004B49A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t>(по итогам 2022 года)</w:t>
      </w:r>
    </w:p>
    <w:p w:rsidR="004B49AA" w:rsidRPr="003F6564" w:rsidRDefault="004B49AA" w:rsidP="004B49A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49AA" w:rsidRPr="00F37A55" w:rsidRDefault="004B49AA" w:rsidP="004B49AA">
      <w:pPr>
        <w:spacing w:after="0" w:line="240" w:lineRule="auto"/>
        <w:ind w:firstLine="709"/>
        <w:jc w:val="both"/>
        <w:rPr>
          <w:rFonts w:ascii="Times New Roman" w:hAnsi="Times New Roman" w:cs="Arial"/>
          <w:strike/>
          <w:sz w:val="24"/>
          <w:szCs w:val="24"/>
        </w:rPr>
      </w:pPr>
      <w:r w:rsidRPr="00F37A5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37A55">
        <w:rPr>
          <w:rFonts w:ascii="Times New Roman" w:hAnsi="Times New Roman" w:cs="Arial"/>
          <w:b/>
          <w:sz w:val="24"/>
          <w:szCs w:val="24"/>
        </w:rPr>
        <w:t>По показателям,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/>
          <w:b/>
          <w:sz w:val="24"/>
          <w:szCs w:val="24"/>
        </w:rPr>
        <w:t>характеризующим условия открытости и доступности информации об организации</w:t>
      </w:r>
      <w:r w:rsidRPr="00F37A55">
        <w:rPr>
          <w:rFonts w:ascii="Times New Roman" w:hAnsi="Times New Roman" w:cs="Arial"/>
          <w:sz w:val="24"/>
          <w:szCs w:val="24"/>
        </w:rPr>
        <w:t>: обеспечить повышение условий открытости и доступности информации о деятельности организации 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(в части поиска информации, освещенности событий, проводимых мероприятий и др.).</w:t>
      </w:r>
    </w:p>
    <w:p w:rsidR="004B49AA" w:rsidRDefault="004B49AA" w:rsidP="004B49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>2. По показателям,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/>
          <w:b/>
          <w:sz w:val="24"/>
          <w:szCs w:val="24"/>
        </w:rPr>
        <w:t>характеризующим условия комфортности предоставления услуг, в том числе время ожидания предоставления услуг:</w:t>
      </w:r>
      <w:r w:rsidRPr="00F37A55">
        <w:rPr>
          <w:rFonts w:ascii="Times New Roman" w:hAnsi="Times New Roman"/>
          <w:sz w:val="20"/>
          <w:szCs w:val="20"/>
        </w:rPr>
        <w:t xml:space="preserve"> </w:t>
      </w:r>
      <w:r w:rsidRPr="00F37A55">
        <w:rPr>
          <w:rFonts w:ascii="Times New Roman" w:hAnsi="Times New Roman" w:cs="Arial"/>
          <w:sz w:val="24"/>
          <w:szCs w:val="24"/>
        </w:rPr>
        <w:t>обеспечить улучшение условий комфортности предоставления услуг в части повышения уровня удовлетворённости граждан условиями оказания услуг и своевременности их предоставления (соблюдение питьевого, температурного режимов, требований к освещенности помещений, транспортной доступности и др.).</w:t>
      </w:r>
    </w:p>
    <w:p w:rsidR="004B49AA" w:rsidRPr="00B41320" w:rsidRDefault="004B49AA" w:rsidP="004B49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>3.</w:t>
      </w:r>
      <w:r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Pr="00F37A55">
        <w:rPr>
          <w:rFonts w:ascii="Times New Roman" w:hAnsi="Times New Roman" w:cs="Arial"/>
          <w:b/>
          <w:sz w:val="24"/>
          <w:szCs w:val="24"/>
        </w:rPr>
        <w:t>показателям,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/>
          <w:b/>
          <w:sz w:val="24"/>
          <w:szCs w:val="24"/>
        </w:rPr>
        <w:t xml:space="preserve">характеризующим условия </w:t>
      </w:r>
      <w:r w:rsidRPr="00F37A55">
        <w:rPr>
          <w:rFonts w:ascii="Times New Roman" w:hAnsi="Times New Roman"/>
          <w:b/>
          <w:sz w:val="24"/>
          <w:szCs w:val="24"/>
          <w:lang w:eastAsia="ru-RU"/>
        </w:rPr>
        <w:t>доступности услуг для инвалидов:</w:t>
      </w:r>
      <w:r w:rsidRPr="00F37A55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F37A55">
        <w:rPr>
          <w:rFonts w:ascii="Times New Roman" w:hAnsi="Times New Roman"/>
          <w:sz w:val="24"/>
          <w:szCs w:val="24"/>
        </w:rPr>
        <w:t>беспечить улучшение условий доступности для инвалидов с учетом принципа «разумного приспособления», категории обслуживаемых лиц (в части путей движения, а также помещений, используемых для оказания услуг инвалидам, дублирования для инвалидов по слуху и зрению звуковой и зрительной информации)</w:t>
      </w:r>
      <w:r>
        <w:rPr>
          <w:rFonts w:ascii="Times New Roman" w:hAnsi="Times New Roman"/>
          <w:sz w:val="24"/>
          <w:szCs w:val="24"/>
        </w:rPr>
        <w:t>.</w:t>
      </w:r>
    </w:p>
    <w:p w:rsidR="004B49AA" w:rsidRPr="003F6564" w:rsidRDefault="004B49AA" w:rsidP="004B49AA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 xml:space="preserve">4. </w:t>
      </w:r>
      <w:r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F37A55">
        <w:rPr>
          <w:rFonts w:ascii="Times New Roman" w:hAnsi="Times New Roman" w:cs="Arial"/>
          <w:b/>
          <w:sz w:val="24"/>
          <w:szCs w:val="24"/>
        </w:rPr>
        <w:t>показателям,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характеризующим условия </w:t>
      </w:r>
      <w:r w:rsidRPr="00F37A55">
        <w:rPr>
          <w:rFonts w:ascii="Times New Roman" w:hAnsi="Times New Roman"/>
          <w:b/>
          <w:sz w:val="24"/>
          <w:szCs w:val="24"/>
        </w:rPr>
        <w:t>д</w:t>
      </w:r>
      <w:r w:rsidRPr="00F37A55">
        <w:rPr>
          <w:rFonts w:ascii="Times New Roman" w:hAnsi="Times New Roman" w:cs="Arial"/>
          <w:b/>
          <w:sz w:val="24"/>
          <w:szCs w:val="24"/>
        </w:rPr>
        <w:t>оброжелательности, вежливости работников организаций:</w:t>
      </w:r>
      <w:r w:rsidRPr="003F6564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 w:cs="Arial"/>
          <w:sz w:val="24"/>
          <w:szCs w:val="24"/>
        </w:rPr>
        <w:t>обеспечить повышение условий по критерию в части проведения мероприятий с сотрудниками организаций</w:t>
      </w:r>
      <w:r w:rsidRPr="003F6564">
        <w:rPr>
          <w:rFonts w:ascii="Times New Roman" w:hAnsi="Times New Roman" w:cs="Arial"/>
          <w:sz w:val="24"/>
          <w:szCs w:val="24"/>
        </w:rPr>
        <w:t xml:space="preserve"> на предмет вежливого и доброжелательного общения с получателями услуг</w:t>
      </w:r>
      <w:r>
        <w:rPr>
          <w:rFonts w:ascii="Times New Roman" w:hAnsi="Times New Roman" w:cs="Arial"/>
          <w:sz w:val="24"/>
          <w:szCs w:val="24"/>
        </w:rPr>
        <w:t>.</w:t>
      </w:r>
    </w:p>
    <w:p w:rsidR="004B49AA" w:rsidRPr="003F6564" w:rsidRDefault="004B49AA" w:rsidP="004B49AA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37A55">
        <w:rPr>
          <w:rFonts w:ascii="Times New Roman" w:hAnsi="Times New Roman" w:cs="Arial"/>
          <w:b/>
          <w:sz w:val="24"/>
          <w:szCs w:val="24"/>
        </w:rPr>
        <w:t xml:space="preserve">5. </w:t>
      </w:r>
      <w:r w:rsidRPr="00F37A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F37A55">
        <w:rPr>
          <w:rFonts w:ascii="Times New Roman" w:hAnsi="Times New Roman" w:cs="Arial"/>
          <w:b/>
          <w:sz w:val="24"/>
          <w:szCs w:val="24"/>
        </w:rPr>
        <w:t xml:space="preserve">показателям, </w:t>
      </w:r>
      <w:r w:rsidRPr="00F37A55">
        <w:rPr>
          <w:rFonts w:ascii="Times New Roman" w:hAnsi="Times New Roman"/>
          <w:b/>
          <w:sz w:val="24"/>
          <w:szCs w:val="24"/>
        </w:rPr>
        <w:t xml:space="preserve">характеризующим </w:t>
      </w:r>
      <w:r w:rsidRPr="00F37A55">
        <w:rPr>
          <w:rFonts w:ascii="Times New Roman" w:hAnsi="Times New Roman" w:cs="Arial"/>
          <w:b/>
          <w:sz w:val="24"/>
          <w:szCs w:val="24"/>
        </w:rPr>
        <w:t xml:space="preserve">удовлетворенность </w:t>
      </w:r>
      <w:r w:rsidRPr="00F37A55">
        <w:rPr>
          <w:rFonts w:ascii="Times New Roman" w:hAnsi="Times New Roman"/>
          <w:b/>
          <w:sz w:val="24"/>
          <w:szCs w:val="24"/>
        </w:rPr>
        <w:t>условиями</w:t>
      </w:r>
      <w:r w:rsidRPr="00F37A55">
        <w:rPr>
          <w:rFonts w:ascii="Times New Roman" w:hAnsi="Times New Roman" w:cs="Arial"/>
          <w:b/>
          <w:sz w:val="24"/>
          <w:szCs w:val="24"/>
        </w:rPr>
        <w:t xml:space="preserve"> оказания услуг:</w:t>
      </w:r>
      <w:r w:rsidRPr="003F6564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 w:cs="Arial"/>
          <w:sz w:val="24"/>
          <w:szCs w:val="24"/>
        </w:rPr>
        <w:t>обеспечить организацию дополнительных опросов получателей услуг для выявления наличия неудовлетворенности/замечаний условиями оказания услуг.</w:t>
      </w:r>
    </w:p>
    <w:p w:rsidR="004B49AA" w:rsidRPr="003F6564" w:rsidRDefault="004B49AA" w:rsidP="004B49AA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49AA" w:rsidRPr="003F6564" w:rsidRDefault="004B49AA" w:rsidP="004B49AA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3F6564">
        <w:rPr>
          <w:rFonts w:ascii="Times New Roman" w:hAnsi="Times New Roman"/>
          <w:b/>
          <w:sz w:val="28"/>
          <w:szCs w:val="28"/>
        </w:rPr>
        <w:br w:type="page"/>
      </w:r>
    </w:p>
    <w:p w:rsidR="004B49AA" w:rsidRPr="003F6564" w:rsidRDefault="004B49AA" w:rsidP="004B49AA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4B49AA" w:rsidRPr="003F6564" w:rsidSect="00655A3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49AA" w:rsidRPr="003F6564" w:rsidRDefault="004B49AA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4B49AA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Предложения </w:t>
      </w:r>
    </w:p>
    <w:p w:rsidR="004B49AA" w:rsidRPr="003F6564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"/>
          <w:b/>
          <w:sz w:val="24"/>
          <w:szCs w:val="24"/>
        </w:rPr>
        <w:t>п</w:t>
      </w:r>
      <w:r w:rsidRPr="00F37A55">
        <w:rPr>
          <w:rFonts w:ascii="Times New Roman" w:hAnsi="Times New Roman" w:cs="Arial"/>
          <w:b/>
          <w:sz w:val="24"/>
          <w:szCs w:val="24"/>
        </w:rPr>
        <w:t>о показателям,</w:t>
      </w:r>
      <w:r w:rsidRPr="00F37A55">
        <w:rPr>
          <w:rFonts w:ascii="Times New Roman" w:hAnsi="Times New Roman" w:cs="Arial"/>
          <w:sz w:val="24"/>
          <w:szCs w:val="24"/>
        </w:rPr>
        <w:t xml:space="preserve"> </w:t>
      </w:r>
      <w:r w:rsidRPr="00F37A55">
        <w:rPr>
          <w:rFonts w:ascii="Times New Roman" w:hAnsi="Times New Roman"/>
          <w:b/>
          <w:sz w:val="24"/>
          <w:szCs w:val="24"/>
        </w:rPr>
        <w:t>характеризующим условия открытости и доступности информации об организации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45"/>
        <w:gridCol w:w="10218"/>
      </w:tblGrid>
      <w:tr w:rsidR="004B49AA" w:rsidRPr="00A0019C" w:rsidTr="00CF14FE">
        <w:trPr>
          <w:trHeight w:val="324"/>
          <w:tblHeader/>
        </w:trPr>
        <w:tc>
          <w:tcPr>
            <w:tcW w:w="180" w:type="pct"/>
            <w:shd w:val="clear" w:color="auto" w:fill="auto"/>
          </w:tcPr>
          <w:p w:rsidR="004B49AA" w:rsidRPr="00A0019C" w:rsidRDefault="004B49AA" w:rsidP="00317D99">
            <w:pPr>
              <w:pStyle w:val="a3"/>
              <w:tabs>
                <w:tab w:val="left" w:pos="257"/>
              </w:tabs>
              <w:spacing w:after="0" w:line="240" w:lineRule="auto"/>
              <w:ind w:left="29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B49AA" w:rsidRPr="00A0019C" w:rsidRDefault="004B49AA" w:rsidP="003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53" w:type="pct"/>
            <w:shd w:val="clear" w:color="auto" w:fill="auto"/>
            <w:vAlign w:val="center"/>
            <w:hideMark/>
          </w:tcPr>
          <w:p w:rsidR="004B49AA" w:rsidRPr="00A0019C" w:rsidRDefault="004B49AA" w:rsidP="003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19C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Pr="00E51F83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показателям, характеризующим открытость и доступность информации об организации </w:t>
            </w:r>
          </w:p>
        </w:tc>
      </w:tr>
      <w:tr w:rsidR="004B49AA" w:rsidRPr="003F6564" w:rsidTr="00CF14FE">
        <w:trPr>
          <w:trHeight w:val="324"/>
        </w:trPr>
        <w:tc>
          <w:tcPr>
            <w:tcW w:w="180" w:type="pct"/>
            <w:shd w:val="clear" w:color="auto" w:fill="auto"/>
          </w:tcPr>
          <w:p w:rsidR="004B49AA" w:rsidRPr="00CF14FE" w:rsidRDefault="00CF14FE" w:rsidP="00CF14FE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4B49AA" w:rsidRPr="00A0019C" w:rsidRDefault="004B49AA" w:rsidP="00317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53" w:type="pct"/>
            <w:shd w:val="clear" w:color="auto" w:fill="auto"/>
          </w:tcPr>
          <w:p w:rsidR="004B49AA" w:rsidRPr="003F6564" w:rsidRDefault="004B49AA" w:rsidP="00317D99">
            <w:pPr>
              <w:spacing w:after="0" w:line="240" w:lineRule="auto"/>
              <w:ind w:firstLine="24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19C">
              <w:rPr>
                <w:rFonts w:ascii="Times New Roman" w:hAnsi="Times New Roman"/>
                <w:sz w:val="20"/>
                <w:szCs w:val="20"/>
              </w:rPr>
              <w:t>Обеспечить повышение условий открытости и доступности информации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>о деятельности</w:t>
            </w:r>
            <w:r w:rsidRPr="00A001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0019C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статьи 13 Федерального закона от 28 декабря 2013 года № 442-ФЗ «Об основах социального обслуживания граждан в Российской Федерации» </w:t>
            </w:r>
            <w:r w:rsidRPr="00A0019C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учреждения (в части организации доступной навигации по сайту, удобного поиска информации)</w:t>
            </w:r>
          </w:p>
        </w:tc>
      </w:tr>
    </w:tbl>
    <w:p w:rsidR="004B49AA" w:rsidRPr="003F6564" w:rsidRDefault="004B49AA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49AA" w:rsidRPr="003F6564" w:rsidRDefault="00CF14FE" w:rsidP="00CF14FE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B49AA" w:rsidRPr="003F6564">
        <w:rPr>
          <w:rFonts w:ascii="Times New Roman" w:hAnsi="Times New Roman"/>
          <w:sz w:val="24"/>
          <w:szCs w:val="24"/>
        </w:rPr>
        <w:t>аблица 2</w:t>
      </w:r>
    </w:p>
    <w:p w:rsidR="004B49AA" w:rsidRDefault="00CF14FE" w:rsidP="00CF14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B49AA" w:rsidRPr="003F6564">
        <w:rPr>
          <w:rFonts w:ascii="Times New Roman" w:hAnsi="Times New Roman"/>
          <w:b/>
          <w:sz w:val="24"/>
          <w:szCs w:val="24"/>
        </w:rPr>
        <w:t>редложения</w:t>
      </w:r>
      <w:r w:rsidR="004B49AA"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="004B49AA"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="004B49AA" w:rsidRPr="00052D4E">
        <w:rPr>
          <w:rFonts w:ascii="Times New Roman" w:hAnsi="Times New Roman"/>
          <w:b/>
          <w:sz w:val="24"/>
          <w:szCs w:val="24"/>
        </w:rPr>
        <w:t>ха</w:t>
      </w:r>
      <w:r w:rsidR="004B49AA">
        <w:rPr>
          <w:rFonts w:ascii="Times New Roman" w:hAnsi="Times New Roman"/>
          <w:b/>
          <w:sz w:val="24"/>
          <w:szCs w:val="24"/>
        </w:rPr>
        <w:t xml:space="preserve">рактеризующим условия комфортности предоставления услуг, </w:t>
      </w:r>
    </w:p>
    <w:p w:rsidR="004B49AA" w:rsidRDefault="004B49AA" w:rsidP="00CF14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время ожидания предоставления услуг</w:t>
      </w:r>
    </w:p>
    <w:p w:rsidR="004B49AA" w:rsidRPr="00CF14FE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907"/>
        <w:gridCol w:w="10218"/>
      </w:tblGrid>
      <w:tr w:rsidR="004B49AA" w:rsidRPr="004F0783" w:rsidTr="00CF14FE">
        <w:trPr>
          <w:trHeight w:val="108"/>
          <w:tblHeader/>
        </w:trPr>
        <w:tc>
          <w:tcPr>
            <w:tcW w:w="181" w:type="pct"/>
            <w:shd w:val="clear" w:color="auto" w:fill="auto"/>
            <w:vAlign w:val="center"/>
          </w:tcPr>
          <w:p w:rsidR="004B49AA" w:rsidRPr="004F0783" w:rsidRDefault="004B49AA" w:rsidP="00317D99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4B49AA" w:rsidRPr="004F0783" w:rsidRDefault="004B49AA" w:rsidP="00317D99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4B49AA" w:rsidRPr="004F0783" w:rsidRDefault="004B49AA" w:rsidP="00317D99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4B49AA" w:rsidRPr="009C60D8" w:rsidRDefault="004B49AA" w:rsidP="00317D99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3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показателям, характеризующим условия комфортности предоставления услуг, </w:t>
            </w:r>
          </w:p>
          <w:p w:rsidR="004B49AA" w:rsidRPr="004F0783" w:rsidRDefault="004B49AA" w:rsidP="00317D99">
            <w:pPr>
              <w:spacing w:after="0" w:line="240" w:lineRule="auto"/>
              <w:ind w:left="28" w:right="-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>в том числе время ожидания предоставления услуг</w:t>
            </w:r>
          </w:p>
        </w:tc>
      </w:tr>
      <w:tr w:rsidR="004B49AA" w:rsidRPr="003F6564" w:rsidTr="00CF14FE">
        <w:trPr>
          <w:trHeight w:val="108"/>
        </w:trPr>
        <w:tc>
          <w:tcPr>
            <w:tcW w:w="181" w:type="pct"/>
            <w:shd w:val="clear" w:color="auto" w:fill="auto"/>
          </w:tcPr>
          <w:p w:rsidR="004B49AA" w:rsidRPr="00CF14FE" w:rsidRDefault="00CF14FE" w:rsidP="00CF14FE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4B49AA" w:rsidRPr="004F0783" w:rsidRDefault="004B49AA" w:rsidP="00317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86" w:type="pct"/>
            <w:shd w:val="clear" w:color="auto" w:fill="auto"/>
          </w:tcPr>
          <w:p w:rsidR="004B49AA" w:rsidRPr="004F0783" w:rsidRDefault="004B49AA" w:rsidP="00317D99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информационных табличек, указателей на дверях кабинетов для удобства ориентирования в помещениях)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времени ожидания предоставления услуг в соответствии с требованиями, установленными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Правительством Ханты-Мансийского автономного округа – Югры от 06.09.2014 г. 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</w:tr>
    </w:tbl>
    <w:p w:rsidR="004B49AA" w:rsidRPr="003F6564" w:rsidRDefault="004B49AA" w:rsidP="004B49AA">
      <w:pPr>
        <w:spacing w:after="0"/>
        <w:rPr>
          <w:rFonts w:ascii="Times New Roman" w:hAnsi="Times New Roman"/>
          <w:sz w:val="28"/>
          <w:szCs w:val="28"/>
        </w:rPr>
      </w:pPr>
    </w:p>
    <w:p w:rsidR="00CF14FE" w:rsidRDefault="004B49AA" w:rsidP="00CF14FE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t>Таблица 3</w:t>
      </w:r>
    </w:p>
    <w:p w:rsidR="004B49AA" w:rsidRDefault="004B49AA" w:rsidP="00CF14FE">
      <w:pPr>
        <w:spacing w:after="0" w:line="259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  <w:r w:rsidR="00CF14F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 условия д</w:t>
      </w:r>
      <w:r w:rsidRPr="003F6564">
        <w:rPr>
          <w:rFonts w:ascii="Times New Roman" w:eastAsia="Arial Unicode MS" w:hAnsi="Times New Roman"/>
          <w:b/>
          <w:sz w:val="24"/>
          <w:szCs w:val="24"/>
        </w:rPr>
        <w:t>оступност</w:t>
      </w:r>
      <w:r>
        <w:rPr>
          <w:rFonts w:ascii="Times New Roman" w:eastAsia="Arial Unicode MS" w:hAnsi="Times New Roman"/>
          <w:b/>
          <w:sz w:val="24"/>
          <w:szCs w:val="24"/>
        </w:rPr>
        <w:t>и</w:t>
      </w:r>
      <w:r w:rsidRPr="003F6564">
        <w:rPr>
          <w:rFonts w:ascii="Times New Roman" w:eastAsia="Arial Unicode MS" w:hAnsi="Times New Roman"/>
          <w:b/>
          <w:sz w:val="24"/>
          <w:szCs w:val="24"/>
        </w:rPr>
        <w:t xml:space="preserve"> услуг для инвалидов</w:t>
      </w:r>
    </w:p>
    <w:p w:rsidR="00CF14FE" w:rsidRPr="00CF14FE" w:rsidRDefault="00CF14FE" w:rsidP="00CF14FE">
      <w:pPr>
        <w:spacing w:after="0" w:line="259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76"/>
        <w:gridCol w:w="10046"/>
      </w:tblGrid>
      <w:tr w:rsidR="004B49AA" w:rsidRPr="00D2294E" w:rsidTr="00CF14FE">
        <w:trPr>
          <w:trHeight w:val="576"/>
          <w:tblHeader/>
        </w:trPr>
        <w:tc>
          <w:tcPr>
            <w:tcW w:w="194" w:type="pct"/>
            <w:shd w:val="clear" w:color="auto" w:fill="auto"/>
            <w:vAlign w:val="center"/>
          </w:tcPr>
          <w:p w:rsidR="004B49AA" w:rsidRPr="00D2294E" w:rsidRDefault="004B49AA" w:rsidP="00317D99">
            <w:pPr>
              <w:pStyle w:val="a3"/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4B49AA" w:rsidRPr="00D2294E" w:rsidRDefault="004B49AA" w:rsidP="003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4B49AA" w:rsidRPr="00D2294E" w:rsidRDefault="004B49AA" w:rsidP="00317D99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</w:t>
            </w: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>показателям, характеризующим условия доступности услуг для инвалидов</w:t>
            </w:r>
          </w:p>
        </w:tc>
      </w:tr>
      <w:tr w:rsidR="004B49AA" w:rsidRPr="00D2294E" w:rsidTr="00CF14FE">
        <w:trPr>
          <w:trHeight w:val="324"/>
        </w:trPr>
        <w:tc>
          <w:tcPr>
            <w:tcW w:w="194" w:type="pct"/>
            <w:shd w:val="clear" w:color="auto" w:fill="auto"/>
          </w:tcPr>
          <w:p w:rsidR="004B49AA" w:rsidRPr="00CF14FE" w:rsidRDefault="00CF14FE" w:rsidP="00CF14FE">
            <w:pPr>
              <w:tabs>
                <w:tab w:val="left" w:pos="29"/>
              </w:tabs>
              <w:spacing w:after="0" w:line="240" w:lineRule="auto"/>
              <w:ind w:left="29" w:hanging="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:rsidR="004B49AA" w:rsidRPr="00D2294E" w:rsidRDefault="00CF14FE" w:rsidP="00317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783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4B49AA" w:rsidRPr="00D2294E" w:rsidRDefault="00CF14FE" w:rsidP="00CF14FE">
            <w:pPr>
              <w:spacing w:after="0" w:line="240" w:lineRule="auto"/>
              <w:ind w:firstLine="3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4B49AA" w:rsidRPr="003F6564" w:rsidRDefault="004B49AA" w:rsidP="004B49AA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F14FE" w:rsidRDefault="00CF14FE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173" w:rsidRDefault="00396173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49AA" w:rsidRPr="003F6564" w:rsidRDefault="004B49AA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6564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4B49AA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4B49AA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 условия д</w:t>
      </w:r>
      <w:r>
        <w:rPr>
          <w:rFonts w:ascii="Times New Roman" w:hAnsi="Times New Roman"/>
          <w:b/>
          <w:sz w:val="24"/>
          <w:szCs w:val="24"/>
          <w:lang w:eastAsia="ru-RU"/>
        </w:rPr>
        <w:t>оброжелательности, вежливости</w:t>
      </w:r>
      <w:r w:rsidRPr="003F6564"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 организаций</w:t>
      </w:r>
    </w:p>
    <w:p w:rsidR="00CF14FE" w:rsidRPr="00CF14FE" w:rsidRDefault="00CF14FE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91"/>
        <w:gridCol w:w="10227"/>
      </w:tblGrid>
      <w:tr w:rsidR="004B49AA" w:rsidRPr="003F6564" w:rsidTr="00317D99">
        <w:trPr>
          <w:trHeight w:val="576"/>
          <w:tblHeader/>
          <w:jc w:val="center"/>
        </w:trPr>
        <w:tc>
          <w:tcPr>
            <w:tcW w:w="192" w:type="pct"/>
            <w:shd w:val="clear" w:color="auto" w:fill="auto"/>
            <w:vAlign w:val="center"/>
            <w:hideMark/>
          </w:tcPr>
          <w:p w:rsidR="004B49AA" w:rsidRPr="003F6564" w:rsidRDefault="004B49AA" w:rsidP="00317D9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4B49AA" w:rsidRPr="003F6564" w:rsidRDefault="004B49AA" w:rsidP="003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:rsidR="004B49AA" w:rsidRPr="008F04F8" w:rsidRDefault="004B49AA" w:rsidP="0031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4F8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</w:t>
            </w:r>
            <w:r w:rsidRPr="008F04F8">
              <w:rPr>
                <w:rFonts w:ascii="Times New Roman" w:hAnsi="Times New Roman" w:cs="Arial"/>
                <w:b/>
                <w:sz w:val="20"/>
                <w:szCs w:val="20"/>
              </w:rPr>
              <w:t xml:space="preserve">по показателям, </w:t>
            </w:r>
            <w:r w:rsidRPr="008F04F8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характеризующим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r w:rsidRPr="008F04F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оброжелательности</w:t>
            </w:r>
            <w:r w:rsidRP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вежливост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8F04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работников организаций</w:t>
            </w:r>
          </w:p>
        </w:tc>
      </w:tr>
      <w:tr w:rsidR="004B49AA" w:rsidRPr="003F6564" w:rsidTr="00317D99">
        <w:trPr>
          <w:trHeight w:val="324"/>
          <w:jc w:val="center"/>
        </w:trPr>
        <w:tc>
          <w:tcPr>
            <w:tcW w:w="192" w:type="pct"/>
            <w:shd w:val="clear" w:color="auto" w:fill="auto"/>
          </w:tcPr>
          <w:p w:rsidR="004B49AA" w:rsidRPr="003F6564" w:rsidRDefault="00CF14FE" w:rsidP="00CF14F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shd w:val="clear" w:color="auto" w:fill="auto"/>
          </w:tcPr>
          <w:p w:rsidR="004B49AA" w:rsidRPr="003F6564" w:rsidRDefault="004B49AA" w:rsidP="00317D9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83" w:type="pct"/>
            <w:shd w:val="clear" w:color="auto" w:fill="auto"/>
          </w:tcPr>
          <w:p w:rsidR="004B49AA" w:rsidRDefault="004B49AA" w:rsidP="00317D99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8F04F8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F0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B49AA" w:rsidRPr="003F6564" w:rsidRDefault="004B49AA" w:rsidP="00317D99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0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сотрудников, осуществляющих контакт с получателями услуг, </w:t>
            </w:r>
          </w:p>
          <w:p w:rsidR="004B49AA" w:rsidRPr="003F6564" w:rsidRDefault="004B49AA" w:rsidP="00317D99">
            <w:pPr>
              <w:spacing w:after="0" w:line="240" w:lineRule="auto"/>
              <w:ind w:firstLine="2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F6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предотвращению профессионального выгорания работников организации</w:t>
            </w:r>
          </w:p>
        </w:tc>
      </w:tr>
    </w:tbl>
    <w:p w:rsidR="004B49AA" w:rsidRPr="003F6564" w:rsidRDefault="004B49AA" w:rsidP="004B49AA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49AA" w:rsidRPr="003F6564" w:rsidRDefault="004B49AA" w:rsidP="004B4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t>Таблица 5</w:t>
      </w:r>
    </w:p>
    <w:p w:rsidR="004B49AA" w:rsidRDefault="004B49AA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  <w:r w:rsidR="00CF14F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</w:t>
      </w:r>
      <w:r w:rsidRPr="003F6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удовлетворенность условиями оказания услуг</w:t>
      </w:r>
    </w:p>
    <w:p w:rsidR="00CF14FE" w:rsidRPr="00CF14FE" w:rsidRDefault="00CF14FE" w:rsidP="004B49AA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960"/>
        <w:gridCol w:w="10041"/>
      </w:tblGrid>
      <w:tr w:rsidR="004B49AA" w:rsidRPr="003F6564" w:rsidTr="00396173">
        <w:trPr>
          <w:trHeight w:val="576"/>
          <w:tblHeader/>
        </w:trPr>
        <w:tc>
          <w:tcPr>
            <w:tcW w:w="192" w:type="pct"/>
            <w:shd w:val="clear" w:color="auto" w:fill="auto"/>
            <w:hideMark/>
          </w:tcPr>
          <w:p w:rsidR="004B49AA" w:rsidRPr="003F6564" w:rsidRDefault="004B49AA" w:rsidP="00317D99">
            <w:pPr>
              <w:tabs>
                <w:tab w:val="left" w:pos="187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:rsidR="004B49AA" w:rsidRPr="003F6564" w:rsidRDefault="004B49AA" w:rsidP="00317D99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64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48" w:type="pct"/>
            <w:shd w:val="clear" w:color="auto" w:fill="auto"/>
            <w:vAlign w:val="center"/>
            <w:hideMark/>
          </w:tcPr>
          <w:p w:rsidR="004B49AA" w:rsidRPr="009C60D8" w:rsidRDefault="004B49AA" w:rsidP="00317D99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показателям, характеризующим </w:t>
            </w:r>
            <w:r w:rsidRPr="009C60D8">
              <w:rPr>
                <w:rFonts w:ascii="Times New Roman" w:hAnsi="Times New Roman" w:cs="Arial"/>
                <w:b/>
                <w:sz w:val="20"/>
                <w:szCs w:val="20"/>
              </w:rPr>
              <w:t xml:space="preserve">удовлетворенность </w:t>
            </w:r>
            <w:r w:rsidRPr="009C60D8">
              <w:rPr>
                <w:rFonts w:ascii="Times New Roman" w:hAnsi="Times New Roman"/>
                <w:b/>
                <w:sz w:val="20"/>
                <w:szCs w:val="20"/>
              </w:rPr>
              <w:t>условиями</w:t>
            </w:r>
            <w:r w:rsidRPr="009C60D8">
              <w:rPr>
                <w:rFonts w:ascii="Times New Roman" w:hAnsi="Times New Roman" w:cs="Arial"/>
                <w:b/>
                <w:sz w:val="20"/>
                <w:szCs w:val="20"/>
              </w:rPr>
              <w:t xml:space="preserve"> оказания услуг</w:t>
            </w:r>
          </w:p>
        </w:tc>
      </w:tr>
      <w:tr w:rsidR="00CF14FE" w:rsidRPr="00655A35" w:rsidTr="00396173">
        <w:trPr>
          <w:trHeight w:val="324"/>
        </w:trPr>
        <w:tc>
          <w:tcPr>
            <w:tcW w:w="192" w:type="pct"/>
            <w:shd w:val="clear" w:color="auto" w:fill="auto"/>
          </w:tcPr>
          <w:p w:rsidR="00CF14FE" w:rsidRPr="002B4CDA" w:rsidRDefault="00396173" w:rsidP="00396173">
            <w:pPr>
              <w:pStyle w:val="a3"/>
              <w:tabs>
                <w:tab w:val="left" w:pos="187"/>
              </w:tabs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pct"/>
            <w:shd w:val="clear" w:color="auto" w:fill="auto"/>
          </w:tcPr>
          <w:p w:rsidR="00CF14FE" w:rsidRPr="003F6564" w:rsidRDefault="00CF14FE" w:rsidP="00CF14F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564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448" w:type="pct"/>
            <w:shd w:val="clear" w:color="auto" w:fill="auto"/>
          </w:tcPr>
          <w:p w:rsidR="00CF14FE" w:rsidRPr="002B4CDA" w:rsidRDefault="00CF14FE" w:rsidP="00CF14FE">
            <w:pPr>
              <w:spacing w:after="0" w:line="20" w:lineRule="atLeast"/>
              <w:ind w:firstLine="2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4B49AA" w:rsidRDefault="004B49AA" w:rsidP="00CF14FE">
      <w:pPr>
        <w:tabs>
          <w:tab w:val="left" w:pos="709"/>
          <w:tab w:val="left" w:pos="1134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4B49AA" w:rsidSect="00F37A55">
      <w:pgSz w:w="16838" w:h="11906" w:orient="landscape"/>
      <w:pgMar w:top="141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54" w:rsidRDefault="00AE2F54" w:rsidP="004B49AA">
      <w:pPr>
        <w:spacing w:after="0" w:line="240" w:lineRule="auto"/>
      </w:pPr>
      <w:r>
        <w:separator/>
      </w:r>
    </w:p>
  </w:endnote>
  <w:endnote w:type="continuationSeparator" w:id="0">
    <w:p w:rsidR="00AE2F54" w:rsidRDefault="00AE2F54" w:rsidP="004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54" w:rsidRDefault="00AE2F54" w:rsidP="004B49AA">
      <w:pPr>
        <w:spacing w:after="0" w:line="240" w:lineRule="auto"/>
      </w:pPr>
      <w:r>
        <w:separator/>
      </w:r>
    </w:p>
  </w:footnote>
  <w:footnote w:type="continuationSeparator" w:id="0">
    <w:p w:rsidR="00AE2F54" w:rsidRDefault="00AE2F54" w:rsidP="004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812405594"/>
      <w:docPartObj>
        <w:docPartGallery w:val="Page Numbers (Top of Page)"/>
        <w:docPartUnique/>
      </w:docPartObj>
    </w:sdtPr>
    <w:sdtEndPr/>
    <w:sdtContent>
      <w:p w:rsidR="004B49AA" w:rsidRPr="00F37A55" w:rsidRDefault="004B49AA" w:rsidP="00F37A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37A55">
          <w:rPr>
            <w:rFonts w:ascii="Times New Roman" w:hAnsi="Times New Roman"/>
            <w:sz w:val="24"/>
            <w:szCs w:val="24"/>
          </w:rPr>
          <w:fldChar w:fldCharType="begin"/>
        </w:r>
        <w:r w:rsidRPr="00F37A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37A55">
          <w:rPr>
            <w:rFonts w:ascii="Times New Roman" w:hAnsi="Times New Roman"/>
            <w:sz w:val="24"/>
            <w:szCs w:val="24"/>
          </w:rPr>
          <w:fldChar w:fldCharType="separate"/>
        </w:r>
        <w:r w:rsidR="00396173">
          <w:rPr>
            <w:rFonts w:ascii="Times New Roman" w:hAnsi="Times New Roman"/>
            <w:noProof/>
            <w:sz w:val="24"/>
            <w:szCs w:val="24"/>
          </w:rPr>
          <w:t>3</w:t>
        </w:r>
        <w:r w:rsidRPr="00F37A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F2C"/>
    <w:multiLevelType w:val="hybridMultilevel"/>
    <w:tmpl w:val="0444F14E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126"/>
    <w:multiLevelType w:val="hybridMultilevel"/>
    <w:tmpl w:val="836C62C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CDF"/>
    <w:multiLevelType w:val="hybridMultilevel"/>
    <w:tmpl w:val="DAE41DC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59D"/>
    <w:multiLevelType w:val="hybridMultilevel"/>
    <w:tmpl w:val="2B3036C0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8EE"/>
    <w:multiLevelType w:val="hybridMultilevel"/>
    <w:tmpl w:val="8848B98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8"/>
    <w:rsid w:val="00062CAD"/>
    <w:rsid w:val="00396173"/>
    <w:rsid w:val="004B49AA"/>
    <w:rsid w:val="004F52F8"/>
    <w:rsid w:val="00AE2F54"/>
    <w:rsid w:val="00BD4DD1"/>
    <w:rsid w:val="00C25AF1"/>
    <w:rsid w:val="00C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58F"/>
  <w15:chartTrackingRefBased/>
  <w15:docId w15:val="{B695FE6E-DB3C-42D3-9F10-2F86D6C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AA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4B49AA"/>
  </w:style>
  <w:style w:type="paragraph" w:styleId="a5">
    <w:name w:val="header"/>
    <w:basedOn w:val="a"/>
    <w:link w:val="a6"/>
    <w:uiPriority w:val="99"/>
    <w:unhideWhenUsed/>
    <w:rsid w:val="004B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9AA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4B4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B49A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49AA"/>
    <w:rPr>
      <w:vertAlign w:val="superscript"/>
    </w:rPr>
  </w:style>
  <w:style w:type="paragraph" w:customStyle="1" w:styleId="ConsPlusNormal">
    <w:name w:val="ConsPlusNormal"/>
    <w:rsid w:val="004B4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59"/>
    <w:rsid w:val="004B49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3</cp:revision>
  <dcterms:created xsi:type="dcterms:W3CDTF">2023-07-17T11:30:00Z</dcterms:created>
  <dcterms:modified xsi:type="dcterms:W3CDTF">2023-07-18T04:24:00Z</dcterms:modified>
</cp:coreProperties>
</file>